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7239BE37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49E">
        <w:t xml:space="preserve"> (</w:t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2FF33D55" w:rsidR="00615CAD" w:rsidRPr="00A3453C" w:rsidRDefault="006570A2" w:rsidP="00A871C6">
      <w:pPr>
        <w:pStyle w:val="Heading2"/>
      </w:pPr>
      <w:bookmarkStart w:id="0" w:name="_Hlk10532317"/>
      <w:r>
        <w:t>Evaluation of Patient-Reported Outcomes in Burn Survivors Undergoing Reconstructive Surgery in the Rehabilitative Period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71DC1E1B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6C1766">
        <w:rPr>
          <w:rFonts w:ascii="Calibri" w:hAnsi="Calibri"/>
          <w:b w:val="0"/>
          <w:color w:val="auto"/>
          <w:sz w:val="22"/>
        </w:rPr>
        <w:t>characterize the use of reconstructive surgery following hospitalization and determine whether patient-reported outcomes change over time. Health-related quality of life is decreased in burn survivors, with scars being one of the causes.</w:t>
      </w:r>
      <w:r>
        <w:rPr>
          <w:rFonts w:ascii="Calibri" w:hAnsi="Calibri"/>
          <w:b w:val="0"/>
          <w:color w:val="auto"/>
          <w:sz w:val="22"/>
        </w:rPr>
        <w:t xml:space="preserve"> </w:t>
      </w:r>
      <w:r w:rsidR="00CC17D0">
        <w:rPr>
          <w:rFonts w:ascii="Calibri" w:hAnsi="Calibri"/>
          <w:b w:val="0"/>
          <w:color w:val="auto"/>
          <w:sz w:val="22"/>
        </w:rPr>
        <w:t>Reconstructive surgery has the potential to significantly improve health-related quality of life for burn survivors.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595F0208" w:rsidR="00A1328A" w:rsidRPr="00A1328A" w:rsidRDefault="00A1328A" w:rsidP="00E560AD">
      <w:pPr>
        <w:ind w:left="90"/>
      </w:pPr>
      <w:r>
        <w:t xml:space="preserve">This study found </w:t>
      </w:r>
      <w:r w:rsidR="00E560AD">
        <w:t xml:space="preserve">that participants requiring more operations during index admission </w:t>
      </w:r>
      <w:r w:rsidR="00C4149E">
        <w:t>(</w:t>
      </w:r>
      <w:r w:rsidR="00F828C5">
        <w:t>the original admission for treating the burn</w:t>
      </w:r>
      <w:r w:rsidR="00C4149E">
        <w:t>)</w:t>
      </w:r>
      <w:r w:rsidR="00C4149E" w:rsidRPr="00C4149E">
        <w:t xml:space="preserve"> </w:t>
      </w:r>
      <w:r w:rsidR="00E560AD">
        <w:t>were more likely to undergo reconstructive surgery</w:t>
      </w:r>
      <w:r w:rsidR="00F828C5">
        <w:t xml:space="preserve"> months to year</w:t>
      </w:r>
      <w:r w:rsidR="003061D3">
        <w:t>s</w:t>
      </w:r>
      <w:r w:rsidR="00F828C5">
        <w:t xml:space="preserve"> later</w:t>
      </w:r>
      <w:r w:rsidR="00E560AD">
        <w:t>. There were improvements in scores for those undergoing scar operations more than 6 months after injury, although contracture operations were not associated with significant differences in scores.</w:t>
      </w:r>
      <w:r w:rsidR="00A86B63">
        <w:t xml:space="preserve"> Also, participants with Medicaid insurance were significantly less likely to undergo reconstructive operations compared to individuals with private insurance</w:t>
      </w:r>
      <w:r w:rsidR="002005E3">
        <w:t>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7E8DDEAB" w:rsidR="00196C46" w:rsidRPr="00196C46" w:rsidRDefault="00196C46" w:rsidP="00196C46">
      <w:pPr>
        <w:ind w:left="90"/>
      </w:pPr>
      <w:r>
        <w:t xml:space="preserve">Individuals with </w:t>
      </w:r>
      <w:r w:rsidR="00E560AD">
        <w:t>burn injuries</w:t>
      </w:r>
      <w:r>
        <w:t xml:space="preserve"> (n=</w:t>
      </w:r>
      <w:r w:rsidR="00E560AD">
        <w:t>1359</w:t>
      </w:r>
      <w:r>
        <w:t>) enrolled in the</w:t>
      </w:r>
      <w:r w:rsidR="00E560AD">
        <w:t xml:space="preserve"> 5 U.S. burn centers (Burn Model System). Of the 1359 participants, 372 (27.4%) underwent one or mor</w:t>
      </w:r>
      <w:r w:rsidR="00A86B63">
        <w:t>e</w:t>
      </w:r>
      <w:r w:rsidR="00E560AD">
        <w:t xml:space="preserve"> reconstructive operations within 24 months of injury.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53AF63A5" w14:textId="299D1F35" w:rsidR="006C1766" w:rsidRPr="00196C46" w:rsidRDefault="00196C46" w:rsidP="006C1766">
      <w:pPr>
        <w:ind w:left="90"/>
      </w:pPr>
      <w:r>
        <w:t xml:space="preserve">This study was a </w:t>
      </w:r>
      <w:r w:rsidR="006C1766">
        <w:t>prospective, longitudinal</w:t>
      </w:r>
      <w:r>
        <w:t xml:space="preserve"> study using data </w:t>
      </w:r>
      <w:r w:rsidR="00011920">
        <w:t>from a</w:t>
      </w:r>
      <w:r w:rsidR="006C1766">
        <w:t>dult burn survivors undergoing reconstructive surgery within 24 months after inju</w:t>
      </w:r>
      <w:r w:rsidR="00E560AD">
        <w:t>ry</w:t>
      </w:r>
      <w:r w:rsidR="006C1766">
        <w:t>.</w:t>
      </w:r>
      <w:r w:rsidR="00E560AD">
        <w:t xml:space="preserve"> Researchers classified the problem through three categories: scar, contracture, and open wound.</w:t>
      </w:r>
      <w:r w:rsidR="006C1766">
        <w:t xml:space="preserve"> </w:t>
      </w:r>
      <w:r w:rsidR="00011920">
        <w:t>S</w:t>
      </w:r>
      <w:r w:rsidR="006C1766">
        <w:t>urvey outcomes at 6, 12, and 24 months were compared at follow-up intervals and matched with non</w:t>
      </w:r>
      <w:r w:rsidR="00011920">
        <w:t>-</w:t>
      </w:r>
      <w:r w:rsidR="006C1766">
        <w:t>operated participants using propensity score matching.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2CDDE218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011920">
        <w:rPr>
          <w:rFonts w:asciiTheme="minorHAnsi" w:hAnsiTheme="minorHAnsi"/>
          <w:b w:val="0"/>
          <w:color w:val="auto"/>
          <w:sz w:val="22"/>
          <w:szCs w:val="22"/>
        </w:rPr>
        <w:t>burn injuries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2005E3">
        <w:rPr>
          <w:rFonts w:asciiTheme="minorHAnsi" w:hAnsiTheme="minorHAnsi"/>
          <w:b w:val="0"/>
          <w:color w:val="auto"/>
          <w:sz w:val="22"/>
          <w:szCs w:val="22"/>
        </w:rPr>
        <w:t xml:space="preserve"> patient outcomes </w:t>
      </w:r>
      <w:r w:rsidR="00F828C5">
        <w:rPr>
          <w:rFonts w:asciiTheme="minorHAnsi" w:hAnsiTheme="minorHAnsi"/>
          <w:b w:val="0"/>
          <w:color w:val="auto"/>
          <w:sz w:val="22"/>
          <w:szCs w:val="22"/>
        </w:rPr>
        <w:t xml:space="preserve">and expectations surrounding </w:t>
      </w:r>
      <w:r w:rsidR="002005E3">
        <w:rPr>
          <w:rFonts w:asciiTheme="minorHAnsi" w:hAnsiTheme="minorHAnsi"/>
          <w:b w:val="0"/>
          <w:color w:val="auto"/>
          <w:sz w:val="22"/>
          <w:szCs w:val="22"/>
        </w:rPr>
        <w:t>reconstructive surgery</w:t>
      </w:r>
      <w:r w:rsidR="00F828C5">
        <w:rPr>
          <w:rFonts w:asciiTheme="minorHAnsi" w:hAnsiTheme="minorHAnsi"/>
          <w:b w:val="0"/>
          <w:color w:val="auto"/>
          <w:sz w:val="22"/>
          <w:szCs w:val="22"/>
        </w:rPr>
        <w:t>, particularly with timing</w:t>
      </w:r>
      <w:r w:rsidR="002005E3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Practitioners can use the</w:t>
      </w:r>
      <w:r w:rsidR="00CC17D0">
        <w:rPr>
          <w:rFonts w:asciiTheme="minorHAnsi" w:hAnsiTheme="minorHAnsi"/>
          <w:b w:val="0"/>
          <w:color w:val="auto"/>
          <w:sz w:val="22"/>
          <w:szCs w:val="22"/>
        </w:rPr>
        <w:t>se results to think about how to better understand and mitigate issues around access to reconstructive surgery, and the benefits of reconstructive surgery on health-related quality of life in burn survivors.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3B63483A" w:rsidR="0075592A" w:rsidRPr="001C0D0C" w:rsidRDefault="006570A2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Sheckter, C.C., Carrougher, G.J., McMullen, K., Bamer, A., Friedstat, J., Pham, T.N., &amp; Gibram, N.S.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Evaluation of patient-reported outcomes in burn survivors undergoing reconstructive surgery in the rehabilitative period.</w:t>
      </w:r>
      <w:r w:rsidR="001C0D0C" w:rsidRPr="001C0D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Plastic and Reconstructive Surgery,</w:t>
      </w:r>
      <w:r w:rsidR="001C0D0C" w:rsidRPr="001C0D0C">
        <w:rPr>
          <w:rFonts w:ascii="Calibri" w:eastAsia="Calibri" w:hAnsi="Calibri" w:cs="Calibri"/>
        </w:rPr>
        <w:t xml:space="preserve"> </w:t>
      </w:r>
      <w:r w:rsidR="001C0D0C" w:rsidRPr="001C0D0C"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</w:rPr>
        <w:t>46</w:t>
      </w:r>
      <w:r w:rsidR="001C0D0C" w:rsidRPr="006570A2">
        <w:rPr>
          <w:rFonts w:ascii="Calibri" w:eastAsia="Calibri" w:hAnsi="Calibri" w:cs="Calibri"/>
          <w:iCs/>
        </w:rPr>
        <w:t>(</w:t>
      </w:r>
      <w:r w:rsidRPr="006570A2">
        <w:rPr>
          <w:rFonts w:ascii="Calibri" w:eastAsia="Calibri" w:hAnsi="Calibri" w:cs="Calibri"/>
          <w:iCs/>
        </w:rPr>
        <w:t>1</w:t>
      </w:r>
      <w:r w:rsidR="001C0D0C" w:rsidRPr="006570A2">
        <w:rPr>
          <w:rFonts w:ascii="Calibri" w:eastAsia="Calibri" w:hAnsi="Calibri" w:cs="Calibri"/>
          <w:iCs/>
        </w:rPr>
        <w:t xml:space="preserve">), </w:t>
      </w:r>
      <w:r w:rsidRPr="006570A2">
        <w:rPr>
          <w:rFonts w:ascii="Calibri" w:eastAsia="Calibri" w:hAnsi="Calibri" w:cs="Calibri"/>
          <w:iCs/>
        </w:rPr>
        <w:t>171</w:t>
      </w:r>
      <w:r w:rsidR="001C0D0C" w:rsidRPr="006570A2">
        <w:rPr>
          <w:rFonts w:ascii="Calibri" w:eastAsia="Calibri" w:hAnsi="Calibri" w:cs="Calibri"/>
          <w:iCs/>
        </w:rPr>
        <w:t>-</w:t>
      </w:r>
      <w:r w:rsidRPr="006570A2">
        <w:rPr>
          <w:rFonts w:ascii="Calibri" w:eastAsia="Calibri" w:hAnsi="Calibri" w:cs="Calibri"/>
          <w:iCs/>
        </w:rPr>
        <w:t>182</w:t>
      </w:r>
      <w:r w:rsidR="001C0D0C" w:rsidRPr="006570A2">
        <w:rPr>
          <w:rFonts w:ascii="Calibri" w:eastAsia="Calibri" w:hAnsi="Calibri" w:cs="Calibri"/>
          <w:iCs/>
        </w:rPr>
        <w:t>.</w:t>
      </w:r>
      <w:r>
        <w:rPr>
          <w:rFonts w:ascii="Calibri" w:eastAsia="Calibri" w:hAnsi="Calibri" w:cs="Calibri"/>
          <w:iCs/>
        </w:rPr>
        <w:t xml:space="preserve"> doi:</w:t>
      </w:r>
      <w:r w:rsidR="00C6343C" w:rsidRPr="00C6343C">
        <w:rPr>
          <w:rFonts w:ascii="Calibri" w:eastAsia="Calibri" w:hAnsi="Calibri" w:cs="Calibri"/>
          <w:iCs/>
        </w:rPr>
        <w:t>10.1097/PRS.0000000000006909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lastRenderedPageBreak/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6F55" w14:textId="77777777" w:rsidR="00121EC1" w:rsidRDefault="00121EC1">
      <w:pPr>
        <w:spacing w:before="0" w:after="0" w:line="240" w:lineRule="auto"/>
      </w:pPr>
      <w:r>
        <w:separator/>
      </w:r>
    </w:p>
  </w:endnote>
  <w:endnote w:type="continuationSeparator" w:id="0">
    <w:p w14:paraId="67F1BDE0" w14:textId="77777777" w:rsidR="00121EC1" w:rsidRDefault="00121EC1">
      <w:pPr>
        <w:spacing w:before="0" w:after="0" w:line="240" w:lineRule="auto"/>
      </w:pPr>
      <w:r>
        <w:continuationSeparator/>
      </w:r>
    </w:p>
  </w:endnote>
  <w:endnote w:type="continuationNotice" w:id="1">
    <w:p w14:paraId="7901BE71" w14:textId="77777777" w:rsidR="00121EC1" w:rsidRDefault="00121EC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3061D3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0563" w14:textId="77777777" w:rsidR="00121EC1" w:rsidRPr="006C7FDE" w:rsidRDefault="00121EC1" w:rsidP="006C7FDE">
      <w:pPr>
        <w:pStyle w:val="Footer"/>
      </w:pPr>
    </w:p>
  </w:footnote>
  <w:footnote w:type="continuationSeparator" w:id="0">
    <w:p w14:paraId="28AB4775" w14:textId="77777777" w:rsidR="00121EC1" w:rsidRPr="006C7FDE" w:rsidRDefault="00121EC1" w:rsidP="006C7FDE">
      <w:pPr>
        <w:pStyle w:val="Footer"/>
      </w:pPr>
    </w:p>
  </w:footnote>
  <w:footnote w:type="continuationNotice" w:id="1">
    <w:p w14:paraId="52A3B9FE" w14:textId="77777777" w:rsidR="00121EC1" w:rsidRDefault="00121EC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1920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1EC1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005E3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061D3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570A2"/>
    <w:rsid w:val="0066558D"/>
    <w:rsid w:val="00673FEA"/>
    <w:rsid w:val="00675B32"/>
    <w:rsid w:val="0068344B"/>
    <w:rsid w:val="006A2D72"/>
    <w:rsid w:val="006C1766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16494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6B63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82A34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149E"/>
    <w:rsid w:val="00C467E9"/>
    <w:rsid w:val="00C52204"/>
    <w:rsid w:val="00C544D5"/>
    <w:rsid w:val="00C60D9C"/>
    <w:rsid w:val="00C6343C"/>
    <w:rsid w:val="00C64EAE"/>
    <w:rsid w:val="00C70295"/>
    <w:rsid w:val="00C74A1A"/>
    <w:rsid w:val="00C76E49"/>
    <w:rsid w:val="00C81849"/>
    <w:rsid w:val="00C84DC0"/>
    <w:rsid w:val="00C84F44"/>
    <w:rsid w:val="00C8695F"/>
    <w:rsid w:val="00CC17D0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33B8D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560AD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28C5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B4B408-7D28-4020-B45F-CB6B0E3A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2</cp:revision>
  <cp:lastPrinted>2019-06-11T14:07:00Z</cp:lastPrinted>
  <dcterms:created xsi:type="dcterms:W3CDTF">2021-10-05T20:32:00Z</dcterms:created>
  <dcterms:modified xsi:type="dcterms:W3CDTF">2021-10-05T20:32:00Z</dcterms:modified>
</cp:coreProperties>
</file>