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339F196" w14:textId="77777777" w:rsidR="00980932" w:rsidRDefault="00980932" w:rsidP="00980932">
      <w:pPr>
        <w:rPr>
          <w:rFonts w:ascii="Arial" w:eastAsiaTheme="majorEastAsia" w:hAnsi="Arial" w:cstheme="minorHAnsi"/>
          <w:b/>
          <w:bCs/>
          <w:noProof/>
          <w:color w:val="CA602C"/>
          <w:sz w:val="28"/>
          <w:szCs w:val="32"/>
        </w:rPr>
      </w:pPr>
    </w:p>
    <w:p w14:paraId="309D4028" w14:textId="7EC93AF3" w:rsidR="00C0396B" w:rsidRDefault="00C0396B" w:rsidP="00C0396B">
      <w:pPr>
        <w:pStyle w:val="Heading3"/>
        <w:spacing w:before="360"/>
        <w:rPr>
          <w:rFonts w:ascii="Arial" w:hAnsi="Arial"/>
          <w:color w:val="CA602C"/>
          <w:sz w:val="28"/>
          <w:szCs w:val="32"/>
        </w:rPr>
      </w:pPr>
      <w:r w:rsidRPr="00C0396B">
        <w:rPr>
          <w:rFonts w:ascii="Arial" w:hAnsi="Arial"/>
          <w:color w:val="CA602C"/>
          <w:sz w:val="28"/>
          <w:szCs w:val="32"/>
        </w:rPr>
        <w:t>Challenges to the Standardization of Trauma Data</w:t>
      </w:r>
      <w:r>
        <w:rPr>
          <w:rFonts w:ascii="Arial" w:hAnsi="Arial"/>
          <w:color w:val="CA602C"/>
          <w:sz w:val="28"/>
          <w:szCs w:val="32"/>
        </w:rPr>
        <w:t xml:space="preserve"> </w:t>
      </w:r>
      <w:r w:rsidRPr="00C0396B">
        <w:rPr>
          <w:rFonts w:ascii="Arial" w:hAnsi="Arial"/>
          <w:color w:val="CA602C"/>
          <w:sz w:val="28"/>
          <w:szCs w:val="32"/>
        </w:rPr>
        <w:t>Collection in Burn, Traumatic Brain Injury, Spinal Cord</w:t>
      </w:r>
      <w:r>
        <w:rPr>
          <w:rFonts w:ascii="Arial" w:hAnsi="Arial"/>
          <w:color w:val="CA602C"/>
          <w:sz w:val="28"/>
          <w:szCs w:val="32"/>
        </w:rPr>
        <w:t xml:space="preserve"> </w:t>
      </w:r>
      <w:r w:rsidRPr="00C0396B">
        <w:rPr>
          <w:rFonts w:ascii="Arial" w:hAnsi="Arial"/>
          <w:color w:val="CA602C"/>
          <w:sz w:val="28"/>
          <w:szCs w:val="32"/>
        </w:rPr>
        <w:t>Injury, and Other Trauma Populations: A Call for</w:t>
      </w:r>
      <w:r>
        <w:rPr>
          <w:rFonts w:ascii="Arial" w:hAnsi="Arial"/>
          <w:color w:val="CA602C"/>
          <w:sz w:val="28"/>
          <w:szCs w:val="32"/>
        </w:rPr>
        <w:t xml:space="preserve"> </w:t>
      </w:r>
      <w:r w:rsidRPr="00C0396B">
        <w:rPr>
          <w:rFonts w:ascii="Arial" w:hAnsi="Arial"/>
          <w:color w:val="CA602C"/>
          <w:sz w:val="28"/>
          <w:szCs w:val="32"/>
        </w:rPr>
        <w:t>Common Data Elements for Acute and Longitudinal</w:t>
      </w:r>
      <w:r>
        <w:rPr>
          <w:rFonts w:ascii="Arial" w:hAnsi="Arial"/>
          <w:color w:val="CA602C"/>
          <w:sz w:val="28"/>
          <w:szCs w:val="32"/>
        </w:rPr>
        <w:t xml:space="preserve"> </w:t>
      </w:r>
      <w:r w:rsidRPr="00C0396B">
        <w:rPr>
          <w:rFonts w:ascii="Arial" w:hAnsi="Arial"/>
          <w:color w:val="CA602C"/>
          <w:sz w:val="28"/>
          <w:szCs w:val="32"/>
        </w:rPr>
        <w:t>Trauma Databases</w:t>
      </w:r>
    </w:p>
    <w:p w14:paraId="52E59DE8" w14:textId="588CE796" w:rsidR="00615CAD" w:rsidRDefault="00615CAD" w:rsidP="00C0396B">
      <w:pPr>
        <w:pStyle w:val="Heading3"/>
        <w:spacing w:before="360"/>
        <w:ind w:left="0"/>
      </w:pPr>
      <w:r w:rsidRPr="00FA28FF">
        <w:t>What is</w:t>
      </w:r>
      <w:r w:rsidRPr="00615CAD">
        <w:t xml:space="preserve"> th</w:t>
      </w:r>
      <w:r w:rsidR="00B725C0">
        <w:t>e study about?</w:t>
      </w:r>
    </w:p>
    <w:p w14:paraId="09F447CE" w14:textId="067901D8" w:rsidR="007C6CE6" w:rsidRDefault="007C6CE6" w:rsidP="00C0396B">
      <w:r>
        <w:t>Establishing common data elements (CDEs</w:t>
      </w:r>
      <w:r w:rsidR="00BC7C33">
        <w:t>)</w:t>
      </w:r>
      <w:r w:rsidR="00FB5E31">
        <w:t xml:space="preserve"> </w:t>
      </w:r>
      <w:r>
        <w:t xml:space="preserve">is important for </w:t>
      </w:r>
      <w:r w:rsidR="00C0396B">
        <w:t>promot</w:t>
      </w:r>
      <w:r>
        <w:t>ing</w:t>
      </w:r>
      <w:r w:rsidR="00C0396B">
        <w:t>, shar</w:t>
      </w:r>
      <w:r>
        <w:t>ing</w:t>
      </w:r>
      <w:r w:rsidR="00C0396B">
        <w:t>, and standardiz</w:t>
      </w:r>
      <w:r>
        <w:t>ing</w:t>
      </w:r>
      <w:r w:rsidR="00C0396B">
        <w:t xml:space="preserve"> data collection</w:t>
      </w:r>
      <w:r>
        <w:t xml:space="preserve">. </w:t>
      </w:r>
      <w:r w:rsidR="00BC7C33">
        <w:t xml:space="preserve"> </w:t>
      </w:r>
      <w:r w:rsidR="00FB5E31">
        <w:t>Data elements</w:t>
      </w:r>
      <w:r w:rsidR="00BC7C33">
        <w:t xml:space="preserve"> refer to</w:t>
      </w:r>
      <w:r w:rsidR="00FB5E31">
        <w:t xml:space="preserve"> the words, questions,</w:t>
      </w:r>
      <w:r w:rsidR="000972CF">
        <w:t xml:space="preserve"> or concepts</w:t>
      </w:r>
      <w:r w:rsidR="00FB5E31">
        <w:t xml:space="preserve"> that are used in research studies to describe the data being gathered</w:t>
      </w:r>
      <w:r w:rsidR="00BC7C33">
        <w:t xml:space="preserve">. </w:t>
      </w:r>
      <w:r w:rsidR="001634D2">
        <w:t>The adoption</w:t>
      </w:r>
      <w:r>
        <w:t xml:space="preserve"> </w:t>
      </w:r>
      <w:r w:rsidR="001634D2">
        <w:t xml:space="preserve">of </w:t>
      </w:r>
      <w:r>
        <w:t xml:space="preserve">CDEs </w:t>
      </w:r>
      <w:r w:rsidR="001634D2">
        <w:t xml:space="preserve">in research is important as it helps researchers compare </w:t>
      </w:r>
      <w:r w:rsidR="00FB5E31">
        <w:t xml:space="preserve">different research </w:t>
      </w:r>
      <w:r w:rsidR="001634D2">
        <w:t>studies and conduct literature reviews. There is currently no set of CDEs available for all trauma populations</w:t>
      </w:r>
      <w:r w:rsidR="00CC69BF">
        <w:t>. This study aims to examine</w:t>
      </w:r>
      <w:r w:rsidR="00CC69BF" w:rsidRPr="00CC69BF">
        <w:t xml:space="preserve"> the degree of common data collection among five trauma databases</w:t>
      </w:r>
      <w:r w:rsidR="00CC69BF">
        <w:t xml:space="preserve">. </w:t>
      </w:r>
    </w:p>
    <w:p w14:paraId="7E8315D3" w14:textId="1199D7E3" w:rsidR="003E3C5D" w:rsidRPr="003E3C5D" w:rsidRDefault="00D32E30" w:rsidP="003E3C5D">
      <w:pPr>
        <w:pStyle w:val="Heading3"/>
        <w:ind w:left="0"/>
      </w:pPr>
      <w:r w:rsidRPr="00FA28FF">
        <w:t>What did the study find?</w:t>
      </w:r>
    </w:p>
    <w:p w14:paraId="2D74A098" w14:textId="057FCDD5" w:rsidR="00B136C0" w:rsidRDefault="0036091C" w:rsidP="00B136C0">
      <w:pPr>
        <w:autoSpaceDE w:val="0"/>
        <w:autoSpaceDN w:val="0"/>
        <w:adjustRightInd w:val="0"/>
        <w:spacing w:after="0" w:line="240" w:lineRule="auto"/>
        <w:rPr>
          <w:rFonts w:cs="AdvOT1ef757c0"/>
          <w:color w:val="000000"/>
        </w:rPr>
      </w:pPr>
      <w:r>
        <w:rPr>
          <w:rFonts w:cs="AdvOT1ef757c0"/>
          <w:color w:val="000000"/>
        </w:rPr>
        <w:t>I</w:t>
      </w:r>
      <w:r w:rsidR="003E3C5D" w:rsidRPr="003E3C5D">
        <w:rPr>
          <w:rFonts w:cs="AdvOT1ef757c0"/>
          <w:color w:val="000000"/>
        </w:rPr>
        <w:t xml:space="preserve">nconsistencies </w:t>
      </w:r>
      <w:r>
        <w:rPr>
          <w:rFonts w:cs="AdvOT1ef757c0"/>
          <w:color w:val="000000"/>
        </w:rPr>
        <w:t xml:space="preserve">were found </w:t>
      </w:r>
      <w:r w:rsidR="003E3C5D" w:rsidRPr="003E3C5D">
        <w:rPr>
          <w:rFonts w:cs="AdvOT1ef757c0"/>
          <w:color w:val="000000"/>
        </w:rPr>
        <w:t xml:space="preserve">in the </w:t>
      </w:r>
      <w:bookmarkStart w:id="0" w:name="_Hlk12453520"/>
      <w:r w:rsidR="003E3C5D">
        <w:rPr>
          <w:rFonts w:cs="AdvOT1ef757c0"/>
          <w:color w:val="000000"/>
        </w:rPr>
        <w:t xml:space="preserve">thirty </w:t>
      </w:r>
      <w:r w:rsidR="003E3C5D" w:rsidRPr="003E3C5D">
        <w:rPr>
          <w:rFonts w:cs="AdvOT1ef757c0"/>
          <w:color w:val="000000"/>
        </w:rPr>
        <w:t xml:space="preserve">data </w:t>
      </w:r>
      <w:r w:rsidR="003E3C5D">
        <w:rPr>
          <w:rFonts w:cs="AdvOT1ef757c0"/>
          <w:color w:val="000000"/>
        </w:rPr>
        <w:t>elements examined</w:t>
      </w:r>
      <w:r w:rsidRPr="0036091C">
        <w:t xml:space="preserve"> </w:t>
      </w:r>
      <w:r>
        <w:rPr>
          <w:rFonts w:cs="AdvOT1ef757c0"/>
          <w:color w:val="000000"/>
        </w:rPr>
        <w:t>a</w:t>
      </w:r>
      <w:r w:rsidRPr="0036091C">
        <w:rPr>
          <w:rFonts w:cs="AdvOT1ef757c0"/>
          <w:color w:val="000000"/>
        </w:rPr>
        <w:t xml:space="preserve">cross </w:t>
      </w:r>
      <w:r w:rsidR="00760792">
        <w:rPr>
          <w:rFonts w:cs="AdvOT1ef757c0"/>
          <w:color w:val="000000"/>
        </w:rPr>
        <w:t xml:space="preserve">the </w:t>
      </w:r>
      <w:r w:rsidRPr="0036091C">
        <w:rPr>
          <w:rFonts w:cs="AdvOT1ef757c0"/>
          <w:color w:val="000000"/>
        </w:rPr>
        <w:t>five trauma databases</w:t>
      </w:r>
      <w:bookmarkEnd w:id="0"/>
      <w:r w:rsidR="003E3C5D" w:rsidRPr="003E3C5D">
        <w:rPr>
          <w:rFonts w:cs="AdvOT1ef757c0"/>
          <w:color w:val="000000"/>
        </w:rPr>
        <w:t xml:space="preserve">. </w:t>
      </w:r>
      <w:r w:rsidR="00B136C0">
        <w:rPr>
          <w:rFonts w:cs="AdvOT1ef757c0"/>
          <w:color w:val="000000"/>
        </w:rPr>
        <w:t xml:space="preserve">Only fourteen of the thirty data elements were </w:t>
      </w:r>
      <w:r>
        <w:rPr>
          <w:rFonts w:cs="AdvOT1ef757c0"/>
          <w:color w:val="000000"/>
        </w:rPr>
        <w:t>present in</w:t>
      </w:r>
      <w:r w:rsidR="00B136C0">
        <w:rPr>
          <w:rFonts w:cs="AdvOT1ef757c0"/>
          <w:color w:val="000000"/>
        </w:rPr>
        <w:t xml:space="preserve"> all five databases. </w:t>
      </w:r>
      <w:r w:rsidR="00BC7C33">
        <w:rPr>
          <w:rFonts w:cs="AdvOT1ef757c0"/>
          <w:color w:val="000000"/>
        </w:rPr>
        <w:t xml:space="preserve">Twelve of these fourteen data elements exhibited differences in data values, otherwise known as answer choices. </w:t>
      </w:r>
    </w:p>
    <w:p w14:paraId="4D088AA8" w14:textId="47450C99" w:rsidR="00615CAD" w:rsidRDefault="00615CAD" w:rsidP="00B74623">
      <w:pPr>
        <w:pStyle w:val="Heading3"/>
        <w:ind w:left="0"/>
      </w:pPr>
      <w:r w:rsidRPr="000B1BE7">
        <w:t>Who participated in the</w:t>
      </w:r>
      <w:r w:rsidR="00B725C0" w:rsidRPr="000B1BE7">
        <w:t xml:space="preserve"> study?</w:t>
      </w:r>
    </w:p>
    <w:p w14:paraId="1D7F0632" w14:textId="43968A1E" w:rsidR="00B136C0" w:rsidRPr="0036091C" w:rsidRDefault="0036091C" w:rsidP="00B74623">
      <w:pPr>
        <w:pStyle w:val="Heading3"/>
        <w:ind w:left="0"/>
        <w:rPr>
          <w:rFonts w:asciiTheme="minorHAnsi" w:hAnsiTheme="minorHAnsi"/>
          <w:b w:val="0"/>
          <w:color w:val="auto"/>
          <w:sz w:val="22"/>
          <w:szCs w:val="22"/>
        </w:rPr>
      </w:pPr>
      <w:r w:rsidRPr="0036091C">
        <w:rPr>
          <w:rFonts w:asciiTheme="minorHAnsi" w:hAnsiTheme="minorHAnsi"/>
          <w:b w:val="0"/>
          <w:color w:val="auto"/>
          <w:sz w:val="22"/>
          <w:szCs w:val="22"/>
        </w:rPr>
        <w:t xml:space="preserve">Human </w:t>
      </w:r>
      <w:r>
        <w:rPr>
          <w:rFonts w:asciiTheme="minorHAnsi" w:hAnsiTheme="minorHAnsi"/>
          <w:b w:val="0"/>
          <w:color w:val="auto"/>
          <w:sz w:val="22"/>
          <w:szCs w:val="22"/>
        </w:rPr>
        <w:t xml:space="preserve">subjects were not required for this study. </w:t>
      </w:r>
    </w:p>
    <w:p w14:paraId="5A791BB4" w14:textId="6A3C11AD" w:rsidR="00615CAD" w:rsidRDefault="00615CAD" w:rsidP="00B74623">
      <w:pPr>
        <w:pStyle w:val="Heading3"/>
        <w:ind w:left="0"/>
      </w:pPr>
      <w:r w:rsidRPr="00FA28FF">
        <w:t>How was the study conducted?</w:t>
      </w:r>
    </w:p>
    <w:p w14:paraId="1DA65FEA" w14:textId="13080799" w:rsidR="004D03BD" w:rsidRDefault="004D03BD" w:rsidP="00B136C0">
      <w:r>
        <w:t xml:space="preserve">To determine the common elements, the </w:t>
      </w:r>
      <w:r w:rsidR="00FB5E31">
        <w:t>data element descriptions</w:t>
      </w:r>
      <w:r w:rsidR="008C1050">
        <w:t xml:space="preserve"> and definitions (</w:t>
      </w:r>
      <w:r w:rsidR="00FB5E31">
        <w:t>data dictionar</w:t>
      </w:r>
      <w:r w:rsidR="008C1050">
        <w:t>y)</w:t>
      </w:r>
      <w:r>
        <w:t xml:space="preserve"> of the five trauma databases were examined.</w:t>
      </w:r>
      <w:r w:rsidR="001C7B0F">
        <w:t xml:space="preserve"> This study included two acute</w:t>
      </w:r>
      <w:r w:rsidR="007C23E6">
        <w:t xml:space="preserve"> (short-term)</w:t>
      </w:r>
      <w:r w:rsidR="001C7B0F">
        <w:t xml:space="preserve"> care databases and three </w:t>
      </w:r>
      <w:r w:rsidR="001C7B0F" w:rsidRPr="001C7B0F">
        <w:t>longitudinal</w:t>
      </w:r>
      <w:r w:rsidR="007C23E6">
        <w:t xml:space="preserve"> (long-term)</w:t>
      </w:r>
      <w:r w:rsidR="001C7B0F" w:rsidRPr="001C7B0F">
        <w:t xml:space="preserve"> trauma databases</w:t>
      </w:r>
      <w:r w:rsidR="001C7B0F">
        <w:t xml:space="preserve">. Data elements and values were compared across all databases and </w:t>
      </w:r>
      <w:r w:rsidR="001C7B0F" w:rsidRPr="001C7B0F">
        <w:t>variations in the data were identified</w:t>
      </w:r>
      <w:r w:rsidR="001C7B0F">
        <w:t xml:space="preserve"> to emphasize </w:t>
      </w:r>
      <w:r w:rsidR="001C7B0F" w:rsidRPr="001C7B0F">
        <w:t>meaningful differences between datasets.</w:t>
      </w:r>
    </w:p>
    <w:bookmarkStart w:id="1" w:name="_Hlk12614118"/>
    <w:p w14:paraId="3AE4439B" w14:textId="77777777" w:rsidR="00D32E30" w:rsidRPr="003574A9" w:rsidRDefault="00A83AF1" w:rsidP="00D32E30">
      <w:pPr>
        <w:pStyle w:val="Heading3"/>
        <w:ind w:left="0"/>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rsidR="00D32E30" w:rsidRPr="003574A9">
        <w:t>How can people use the results?</w:t>
      </w:r>
      <w:r>
        <w:fldChar w:fldCharType="end"/>
      </w:r>
    </w:p>
    <w:bookmarkEnd w:id="1"/>
    <w:p w14:paraId="7863A927" w14:textId="0E6ABA9B" w:rsidR="00837A07" w:rsidRDefault="00DD577F" w:rsidP="00C0396B">
      <w:pPr>
        <w:tabs>
          <w:tab w:val="left" w:pos="6000"/>
        </w:tabs>
      </w:pPr>
      <w:r>
        <w:t xml:space="preserve">Trauma patients and their families can use these results to help them understand the important role data plays in trauma research. </w:t>
      </w:r>
      <w:r w:rsidR="00760792">
        <w:t xml:space="preserve">Clinicians can use the results of this study as a call to action for establishing CDEs for all trauma populations. </w:t>
      </w:r>
    </w:p>
    <w:p w14:paraId="6CDF4391" w14:textId="77777777" w:rsidR="00837A07" w:rsidRDefault="00DD577F" w:rsidP="00837A07">
      <w:pPr>
        <w:pStyle w:val="Heading3"/>
        <w:ind w:left="0"/>
      </w:pPr>
      <w:hyperlink r:id="rId11" w:anchor="Note" w:tooltip="Describe who could use the results and how. Could be patient, doctor, administration, centers. Should make sense given findings and study design. Do not overreach." w:history="1">
        <w:r w:rsidR="00837A07">
          <w:t>Authorship</w:t>
        </w:r>
      </w:hyperlink>
      <w:r w:rsidR="00837A07">
        <w:t xml:space="preserve"> </w:t>
      </w:r>
    </w:p>
    <w:p w14:paraId="554255B7" w14:textId="3FB8FAA5" w:rsidR="00837A07" w:rsidRPr="00837A07" w:rsidRDefault="00837A07" w:rsidP="00837A07">
      <w:pPr>
        <w:pStyle w:val="Heading3"/>
        <w:ind w:left="0"/>
        <w:rPr>
          <w:rFonts w:asciiTheme="minorHAnsi" w:eastAsiaTheme="minorHAnsi" w:hAnsiTheme="minorHAnsi" w:cstheme="minorBidi"/>
          <w:b w:val="0"/>
          <w:bCs w:val="0"/>
          <w:noProof w:val="0"/>
          <w:color w:val="auto"/>
          <w:sz w:val="22"/>
          <w:szCs w:val="22"/>
        </w:rPr>
      </w:pPr>
      <w:r w:rsidRPr="008A5513">
        <w:rPr>
          <w:rFonts w:asciiTheme="minorHAnsi" w:eastAsiaTheme="minorHAnsi" w:hAnsiTheme="minorHAnsi" w:cstheme="minorBidi"/>
          <w:b w:val="0"/>
          <w:bCs w:val="0"/>
          <w:noProof w:val="0"/>
          <w:color w:val="auto"/>
          <w:sz w:val="22"/>
          <w:szCs w:val="22"/>
        </w:rPr>
        <w:t>Simko, L. C., Chen, L., Amtmann, D., Gibran, N., Herndon, D., Kowalske, K., . . . Ryan, C. M. (2019). Challenges to the Standardization of Trauma Data Collection in Burn, Traumatic Brain Injury, Spinal Cord Injury, and Other Trauma Populations: A Call for Common Data Elements for Acute and Longitudinal Trauma Databases. </w:t>
      </w:r>
      <w:r w:rsidRPr="008A5513">
        <w:rPr>
          <w:rFonts w:asciiTheme="minorHAnsi" w:eastAsiaTheme="minorHAnsi" w:hAnsiTheme="minorHAnsi" w:cstheme="minorBidi"/>
          <w:b w:val="0"/>
          <w:bCs w:val="0"/>
          <w:i/>
          <w:iCs/>
          <w:noProof w:val="0"/>
          <w:color w:val="auto"/>
          <w:sz w:val="22"/>
          <w:szCs w:val="22"/>
        </w:rPr>
        <w:t>Archives of Physical Medicine and Rehabilitation,</w:t>
      </w:r>
      <w:r w:rsidRPr="008A5513">
        <w:rPr>
          <w:rFonts w:asciiTheme="minorHAnsi" w:eastAsiaTheme="minorHAnsi" w:hAnsiTheme="minorHAnsi" w:cstheme="minorBidi"/>
          <w:b w:val="0"/>
          <w:bCs w:val="0"/>
          <w:noProof w:val="0"/>
          <w:color w:val="auto"/>
          <w:sz w:val="22"/>
          <w:szCs w:val="22"/>
        </w:rPr>
        <w:t> </w:t>
      </w:r>
      <w:r w:rsidRPr="008A5513">
        <w:rPr>
          <w:rFonts w:asciiTheme="minorHAnsi" w:eastAsiaTheme="minorHAnsi" w:hAnsiTheme="minorHAnsi" w:cstheme="minorBidi"/>
          <w:b w:val="0"/>
          <w:bCs w:val="0"/>
          <w:i/>
          <w:iCs/>
          <w:noProof w:val="0"/>
          <w:color w:val="auto"/>
          <w:sz w:val="22"/>
          <w:szCs w:val="22"/>
        </w:rPr>
        <w:t>100</w:t>
      </w:r>
      <w:r w:rsidRPr="008A5513">
        <w:rPr>
          <w:rFonts w:asciiTheme="minorHAnsi" w:eastAsiaTheme="minorHAnsi" w:hAnsiTheme="minorHAnsi" w:cstheme="minorBidi"/>
          <w:b w:val="0"/>
          <w:bCs w:val="0"/>
          <w:noProof w:val="0"/>
          <w:color w:val="auto"/>
          <w:sz w:val="22"/>
          <w:szCs w:val="22"/>
        </w:rPr>
        <w:t>(5), 891-898. doi:10.1016/j.apmr.2018.10.004</w:t>
      </w:r>
    </w:p>
    <w:p w14:paraId="7946720F" w14:textId="1ADB7E03" w:rsidR="0028556A" w:rsidRDefault="00DD577F" w:rsidP="008A5513">
      <w:pPr>
        <w:pStyle w:val="Heading3"/>
        <w:ind w:left="0"/>
      </w:pPr>
      <w:hyperlink r:id="rId12" w:anchor="Note" w:tooltip="Describe who could use the results and how. Could be patient, doctor, administration, centers. Should make sense given findings and study design. Do not overreach." w:history="1">
        <w:r w:rsidR="008A5513">
          <w:t>Disclaimer</w:t>
        </w:r>
      </w:hyperlink>
    </w:p>
    <w:p w14:paraId="7DC7CD14" w14:textId="7AF367EE"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3253F" w14:textId="77777777" w:rsidR="00CE7F39" w:rsidRDefault="00CE7F39">
      <w:pPr>
        <w:spacing w:before="0" w:after="0" w:line="240" w:lineRule="auto"/>
      </w:pPr>
      <w:r>
        <w:separator/>
      </w:r>
    </w:p>
  </w:endnote>
  <w:endnote w:type="continuationSeparator" w:id="0">
    <w:p w14:paraId="0EE6B0CD" w14:textId="77777777" w:rsidR="00CE7F39" w:rsidRDefault="00CE7F39">
      <w:pPr>
        <w:spacing w:before="0" w:after="0" w:line="240" w:lineRule="auto"/>
      </w:pPr>
      <w:r>
        <w:continuationSeparator/>
      </w:r>
    </w:p>
  </w:endnote>
  <w:endnote w:type="continuationNotice" w:id="1">
    <w:p w14:paraId="3D681C48" w14:textId="77777777" w:rsidR="00CE7F39" w:rsidRDefault="00CE7F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1ef757c0">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27B3455" w:rsidR="00953C7D" w:rsidRPr="004C59F0" w:rsidRDefault="00DD577F"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953C7D" w:rsidRPr="004C59F0">
        <w:rPr>
          <w:rStyle w:val="Hyperlink"/>
          <w:color w:val="FFFFFF" w:themeColor="background1"/>
          <w:u w:val="none"/>
        </w:rPr>
        <w:t>https://msktc.org/tbi</w:t>
      </w:r>
    </w:hyperlink>
    <w:r w:rsidR="00953C7D"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28EDA" w14:textId="77777777" w:rsidR="00CE7F39" w:rsidRPr="006C7FDE" w:rsidRDefault="00CE7F39" w:rsidP="006C7FDE">
      <w:pPr>
        <w:pStyle w:val="Footer"/>
      </w:pPr>
    </w:p>
  </w:footnote>
  <w:footnote w:type="continuationSeparator" w:id="0">
    <w:p w14:paraId="05693806" w14:textId="77777777" w:rsidR="00CE7F39" w:rsidRPr="006C7FDE" w:rsidRDefault="00CE7F39" w:rsidP="006C7FDE">
      <w:pPr>
        <w:pStyle w:val="Footer"/>
      </w:pPr>
    </w:p>
  </w:footnote>
  <w:footnote w:type="continuationNotice" w:id="1">
    <w:p w14:paraId="272C6973" w14:textId="77777777" w:rsidR="00CE7F39" w:rsidRDefault="00CE7F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53C7D" w:rsidRPr="00282533" w:rsidRDefault="00953C7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7592"/>
    <w:rsid w:val="00072F87"/>
    <w:rsid w:val="0007334C"/>
    <w:rsid w:val="0007540E"/>
    <w:rsid w:val="00080047"/>
    <w:rsid w:val="0009322F"/>
    <w:rsid w:val="000972CF"/>
    <w:rsid w:val="000A7173"/>
    <w:rsid w:val="000B1BE7"/>
    <w:rsid w:val="000B5474"/>
    <w:rsid w:val="000C63F6"/>
    <w:rsid w:val="000D326F"/>
    <w:rsid w:val="00101253"/>
    <w:rsid w:val="00105E82"/>
    <w:rsid w:val="00113EDB"/>
    <w:rsid w:val="00117A90"/>
    <w:rsid w:val="001268A0"/>
    <w:rsid w:val="001273C6"/>
    <w:rsid w:val="00127E75"/>
    <w:rsid w:val="0013233C"/>
    <w:rsid w:val="001337EF"/>
    <w:rsid w:val="00147988"/>
    <w:rsid w:val="00154DC8"/>
    <w:rsid w:val="00157858"/>
    <w:rsid w:val="00161014"/>
    <w:rsid w:val="001634D2"/>
    <w:rsid w:val="001725AA"/>
    <w:rsid w:val="00183D6A"/>
    <w:rsid w:val="0018455A"/>
    <w:rsid w:val="001A5331"/>
    <w:rsid w:val="001B4D9E"/>
    <w:rsid w:val="001C7B0F"/>
    <w:rsid w:val="001D2DE7"/>
    <w:rsid w:val="001E236C"/>
    <w:rsid w:val="001F5587"/>
    <w:rsid w:val="001F6F7A"/>
    <w:rsid w:val="001F7E52"/>
    <w:rsid w:val="00205A79"/>
    <w:rsid w:val="0022148E"/>
    <w:rsid w:val="002354F0"/>
    <w:rsid w:val="00254C38"/>
    <w:rsid w:val="00264ECC"/>
    <w:rsid w:val="00265393"/>
    <w:rsid w:val="00265B37"/>
    <w:rsid w:val="00265ED2"/>
    <w:rsid w:val="00270784"/>
    <w:rsid w:val="002730BC"/>
    <w:rsid w:val="0028556A"/>
    <w:rsid w:val="002A5E48"/>
    <w:rsid w:val="002A7453"/>
    <w:rsid w:val="002B097A"/>
    <w:rsid w:val="002D38CA"/>
    <w:rsid w:val="002D4BE0"/>
    <w:rsid w:val="002D67D3"/>
    <w:rsid w:val="002E2116"/>
    <w:rsid w:val="002E3CBE"/>
    <w:rsid w:val="002E5577"/>
    <w:rsid w:val="00317B84"/>
    <w:rsid w:val="003215FA"/>
    <w:rsid w:val="00321A6B"/>
    <w:rsid w:val="00322FCA"/>
    <w:rsid w:val="00333107"/>
    <w:rsid w:val="00344C18"/>
    <w:rsid w:val="00346CD8"/>
    <w:rsid w:val="00360737"/>
    <w:rsid w:val="0036091C"/>
    <w:rsid w:val="00371A95"/>
    <w:rsid w:val="00380DCF"/>
    <w:rsid w:val="00380F16"/>
    <w:rsid w:val="003812EA"/>
    <w:rsid w:val="00381598"/>
    <w:rsid w:val="00387B3F"/>
    <w:rsid w:val="00395387"/>
    <w:rsid w:val="003D451D"/>
    <w:rsid w:val="003E3C5D"/>
    <w:rsid w:val="003F4CEF"/>
    <w:rsid w:val="00420213"/>
    <w:rsid w:val="00423930"/>
    <w:rsid w:val="0043355B"/>
    <w:rsid w:val="00433944"/>
    <w:rsid w:val="00435E44"/>
    <w:rsid w:val="00436B55"/>
    <w:rsid w:val="00445D1A"/>
    <w:rsid w:val="004663F7"/>
    <w:rsid w:val="004709C0"/>
    <w:rsid w:val="00481C3B"/>
    <w:rsid w:val="0048389B"/>
    <w:rsid w:val="00486F57"/>
    <w:rsid w:val="00490329"/>
    <w:rsid w:val="004B3B8B"/>
    <w:rsid w:val="004B4346"/>
    <w:rsid w:val="004B53C9"/>
    <w:rsid w:val="004B71D3"/>
    <w:rsid w:val="004C59F0"/>
    <w:rsid w:val="004C6036"/>
    <w:rsid w:val="004D03BD"/>
    <w:rsid w:val="004F76FF"/>
    <w:rsid w:val="004F7772"/>
    <w:rsid w:val="00507EE6"/>
    <w:rsid w:val="00522108"/>
    <w:rsid w:val="00525A6A"/>
    <w:rsid w:val="00534730"/>
    <w:rsid w:val="00542C59"/>
    <w:rsid w:val="005439A8"/>
    <w:rsid w:val="0055447C"/>
    <w:rsid w:val="00557B58"/>
    <w:rsid w:val="00566ABE"/>
    <w:rsid w:val="0056740C"/>
    <w:rsid w:val="00572609"/>
    <w:rsid w:val="005843D5"/>
    <w:rsid w:val="005C3438"/>
    <w:rsid w:val="005D0F31"/>
    <w:rsid w:val="005D2332"/>
    <w:rsid w:val="005D67DD"/>
    <w:rsid w:val="005E4EE1"/>
    <w:rsid w:val="005F5B10"/>
    <w:rsid w:val="006020D8"/>
    <w:rsid w:val="00611B8D"/>
    <w:rsid w:val="00615CAD"/>
    <w:rsid w:val="00631A0A"/>
    <w:rsid w:val="0064519B"/>
    <w:rsid w:val="0066558D"/>
    <w:rsid w:val="0067378B"/>
    <w:rsid w:val="00673FEA"/>
    <w:rsid w:val="00675B32"/>
    <w:rsid w:val="00686E7C"/>
    <w:rsid w:val="006A4D2C"/>
    <w:rsid w:val="006C7FDE"/>
    <w:rsid w:val="006E1CAF"/>
    <w:rsid w:val="006E39CD"/>
    <w:rsid w:val="006E6158"/>
    <w:rsid w:val="006F74CA"/>
    <w:rsid w:val="006F7D09"/>
    <w:rsid w:val="007034C5"/>
    <w:rsid w:val="00711468"/>
    <w:rsid w:val="007126B2"/>
    <w:rsid w:val="00726246"/>
    <w:rsid w:val="00736FCA"/>
    <w:rsid w:val="0074314A"/>
    <w:rsid w:val="007462F3"/>
    <w:rsid w:val="00760792"/>
    <w:rsid w:val="00777305"/>
    <w:rsid w:val="00785CE7"/>
    <w:rsid w:val="00793240"/>
    <w:rsid w:val="007B17CB"/>
    <w:rsid w:val="007B64E2"/>
    <w:rsid w:val="007C23E6"/>
    <w:rsid w:val="007C6CE6"/>
    <w:rsid w:val="007C71D6"/>
    <w:rsid w:val="007E1081"/>
    <w:rsid w:val="007E6A41"/>
    <w:rsid w:val="008034F6"/>
    <w:rsid w:val="00816351"/>
    <w:rsid w:val="00835888"/>
    <w:rsid w:val="00837A07"/>
    <w:rsid w:val="0084779C"/>
    <w:rsid w:val="00847897"/>
    <w:rsid w:val="008567C5"/>
    <w:rsid w:val="00857D18"/>
    <w:rsid w:val="00860B09"/>
    <w:rsid w:val="00861210"/>
    <w:rsid w:val="00862E17"/>
    <w:rsid w:val="00864AFC"/>
    <w:rsid w:val="008A5513"/>
    <w:rsid w:val="008C1050"/>
    <w:rsid w:val="008D6A74"/>
    <w:rsid w:val="008E1871"/>
    <w:rsid w:val="008E4513"/>
    <w:rsid w:val="008E65D3"/>
    <w:rsid w:val="008E7EFD"/>
    <w:rsid w:val="008F1C67"/>
    <w:rsid w:val="008F230B"/>
    <w:rsid w:val="008F52C9"/>
    <w:rsid w:val="00914608"/>
    <w:rsid w:val="009154AD"/>
    <w:rsid w:val="009161F5"/>
    <w:rsid w:val="009216E0"/>
    <w:rsid w:val="00925EF3"/>
    <w:rsid w:val="009270E2"/>
    <w:rsid w:val="00931326"/>
    <w:rsid w:val="0093330A"/>
    <w:rsid w:val="0093353B"/>
    <w:rsid w:val="0095330D"/>
    <w:rsid w:val="00953C7D"/>
    <w:rsid w:val="0097551C"/>
    <w:rsid w:val="00980932"/>
    <w:rsid w:val="0098165F"/>
    <w:rsid w:val="0098277D"/>
    <w:rsid w:val="00984090"/>
    <w:rsid w:val="00991171"/>
    <w:rsid w:val="009D05E2"/>
    <w:rsid w:val="009D3CC9"/>
    <w:rsid w:val="009D6CB7"/>
    <w:rsid w:val="009F7207"/>
    <w:rsid w:val="00A023B2"/>
    <w:rsid w:val="00A138CB"/>
    <w:rsid w:val="00A34025"/>
    <w:rsid w:val="00A3453C"/>
    <w:rsid w:val="00A505BB"/>
    <w:rsid w:val="00A5074D"/>
    <w:rsid w:val="00A570FB"/>
    <w:rsid w:val="00A73FA1"/>
    <w:rsid w:val="00A76007"/>
    <w:rsid w:val="00A83AF1"/>
    <w:rsid w:val="00A83B89"/>
    <w:rsid w:val="00AA1093"/>
    <w:rsid w:val="00AB3647"/>
    <w:rsid w:val="00AB56C4"/>
    <w:rsid w:val="00AC0EF0"/>
    <w:rsid w:val="00AD689F"/>
    <w:rsid w:val="00AE5027"/>
    <w:rsid w:val="00AF2B1A"/>
    <w:rsid w:val="00B041A0"/>
    <w:rsid w:val="00B05C04"/>
    <w:rsid w:val="00B136C0"/>
    <w:rsid w:val="00B15D01"/>
    <w:rsid w:val="00B27DCB"/>
    <w:rsid w:val="00B329BC"/>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C6137"/>
    <w:rsid w:val="00BC7C33"/>
    <w:rsid w:val="00BD1B3D"/>
    <w:rsid w:val="00BD35B2"/>
    <w:rsid w:val="00BD51FF"/>
    <w:rsid w:val="00C0396B"/>
    <w:rsid w:val="00C0512E"/>
    <w:rsid w:val="00C16F7D"/>
    <w:rsid w:val="00C206D7"/>
    <w:rsid w:val="00C22DFC"/>
    <w:rsid w:val="00C235C4"/>
    <w:rsid w:val="00C30ED8"/>
    <w:rsid w:val="00C467E9"/>
    <w:rsid w:val="00C52204"/>
    <w:rsid w:val="00C52BD0"/>
    <w:rsid w:val="00C53CD9"/>
    <w:rsid w:val="00C60D9C"/>
    <w:rsid w:val="00C64EAE"/>
    <w:rsid w:val="00C81849"/>
    <w:rsid w:val="00C84DC0"/>
    <w:rsid w:val="00C86850"/>
    <w:rsid w:val="00C8695F"/>
    <w:rsid w:val="00C93CC2"/>
    <w:rsid w:val="00CA5E1C"/>
    <w:rsid w:val="00CB236F"/>
    <w:rsid w:val="00CB6944"/>
    <w:rsid w:val="00CC69BF"/>
    <w:rsid w:val="00CD2712"/>
    <w:rsid w:val="00CD45CB"/>
    <w:rsid w:val="00CE5C15"/>
    <w:rsid w:val="00CE79D5"/>
    <w:rsid w:val="00CE7F39"/>
    <w:rsid w:val="00CF0DCD"/>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34F9"/>
    <w:rsid w:val="00DC14D1"/>
    <w:rsid w:val="00DC58B2"/>
    <w:rsid w:val="00DC7E14"/>
    <w:rsid w:val="00DD5060"/>
    <w:rsid w:val="00DD577F"/>
    <w:rsid w:val="00DD72EC"/>
    <w:rsid w:val="00DE424D"/>
    <w:rsid w:val="00DF28A0"/>
    <w:rsid w:val="00E06805"/>
    <w:rsid w:val="00E20AD6"/>
    <w:rsid w:val="00E25C7C"/>
    <w:rsid w:val="00E31C28"/>
    <w:rsid w:val="00E45CFB"/>
    <w:rsid w:val="00E4784E"/>
    <w:rsid w:val="00E571F9"/>
    <w:rsid w:val="00E7456F"/>
    <w:rsid w:val="00E83AA6"/>
    <w:rsid w:val="00E87176"/>
    <w:rsid w:val="00E87314"/>
    <w:rsid w:val="00E9057C"/>
    <w:rsid w:val="00E95262"/>
    <w:rsid w:val="00EA2AAD"/>
    <w:rsid w:val="00EC0B9F"/>
    <w:rsid w:val="00EF4837"/>
    <w:rsid w:val="00EF53AC"/>
    <w:rsid w:val="00F04BE5"/>
    <w:rsid w:val="00F103AB"/>
    <w:rsid w:val="00F1053F"/>
    <w:rsid w:val="00F10BC8"/>
    <w:rsid w:val="00F15167"/>
    <w:rsid w:val="00F17CEE"/>
    <w:rsid w:val="00F23D48"/>
    <w:rsid w:val="00F25A14"/>
    <w:rsid w:val="00F4413B"/>
    <w:rsid w:val="00F57594"/>
    <w:rsid w:val="00F643BA"/>
    <w:rsid w:val="00F76745"/>
    <w:rsid w:val="00F831BD"/>
    <w:rsid w:val="00F95C61"/>
    <w:rsid w:val="00FA28FF"/>
    <w:rsid w:val="00FB5E31"/>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A5AAA007-42DA-41F6-894D-A13C345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28265E-339A-4C28-AC78-93CB5E5C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Pakstis, Allyson</cp:lastModifiedBy>
  <cp:revision>4</cp:revision>
  <cp:lastPrinted>2014-09-23T15:34:00Z</cp:lastPrinted>
  <dcterms:created xsi:type="dcterms:W3CDTF">2021-10-19T17:48:00Z</dcterms:created>
  <dcterms:modified xsi:type="dcterms:W3CDTF">2021-10-20T14:40:00Z</dcterms:modified>
</cp:coreProperties>
</file>